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EAE7" w14:textId="77777777" w:rsidR="00C7057B" w:rsidRPr="00C7057B" w:rsidRDefault="00C7057B" w:rsidP="00397577">
      <w:pPr>
        <w:spacing w:line="240" w:lineRule="auto"/>
        <w:ind w:left="708" w:right="-2" w:firstLine="1"/>
        <w:jc w:val="center"/>
        <w:rPr>
          <w:rFonts w:ascii="Times-Bold" w:eastAsiaTheme="minorHAnsi" w:hAnsi="Times-Bold" w:cs="Times-Bold"/>
          <w:b/>
          <w:bCs/>
          <w:color w:val="548ED5"/>
          <w:sz w:val="12"/>
          <w:szCs w:val="12"/>
        </w:rPr>
      </w:pPr>
    </w:p>
    <w:p w14:paraId="5BC1A81E" w14:textId="146281E7" w:rsidR="00397577" w:rsidRPr="002F6F39" w:rsidRDefault="009748DF" w:rsidP="002F6F39">
      <w:pPr>
        <w:spacing w:line="240" w:lineRule="auto"/>
        <w:ind w:left="708" w:right="-2" w:firstLine="1"/>
        <w:jc w:val="center"/>
        <w:rPr>
          <w:rFonts w:ascii="Times-Bold" w:eastAsiaTheme="minorHAnsi" w:hAnsi="Times-Bold" w:cs="Times-Bold"/>
          <w:b/>
          <w:bCs/>
          <w:color w:val="548ED5"/>
          <w:sz w:val="32"/>
          <w:szCs w:val="32"/>
        </w:rPr>
      </w:pPr>
      <w:r w:rsidRPr="00C7057B">
        <w:rPr>
          <w:rFonts w:ascii="Times-Bold" w:eastAsiaTheme="minorHAnsi" w:hAnsi="Times-Bold" w:cs="Times-Bold"/>
          <w:b/>
          <w:bCs/>
          <w:color w:val="548ED5"/>
          <w:sz w:val="32"/>
          <w:szCs w:val="32"/>
        </w:rPr>
        <w:t xml:space="preserve">CONVENZIONE </w:t>
      </w:r>
      <w:r w:rsidR="009B7B59">
        <w:rPr>
          <w:rFonts w:ascii="Times-Bold" w:eastAsiaTheme="minorHAnsi" w:hAnsi="Times-Bold" w:cs="Times-Bold"/>
          <w:b/>
          <w:bCs/>
          <w:color w:val="548ED5"/>
          <w:sz w:val="32"/>
          <w:szCs w:val="32"/>
        </w:rPr>
        <w:t xml:space="preserve">PER </w:t>
      </w:r>
      <w:r w:rsidR="00397577" w:rsidRPr="002F6F39">
        <w:rPr>
          <w:rFonts w:ascii="Times-Bold" w:eastAsiaTheme="minorHAnsi" w:hAnsi="Times-Bold" w:cs="Times-Bold"/>
          <w:b/>
          <w:bCs/>
          <w:color w:val="548ED5"/>
          <w:sz w:val="32"/>
          <w:szCs w:val="32"/>
        </w:rPr>
        <w:t>ALTERNANZA SCUOLA</w:t>
      </w:r>
      <w:r w:rsidR="009B7B59" w:rsidRPr="002F6F39">
        <w:rPr>
          <w:rFonts w:ascii="Times-Bold" w:eastAsiaTheme="minorHAnsi" w:hAnsi="Times-Bold" w:cs="Times-Bold"/>
          <w:b/>
          <w:bCs/>
          <w:color w:val="548ED5"/>
          <w:sz w:val="32"/>
          <w:szCs w:val="32"/>
        </w:rPr>
        <w:t xml:space="preserve"> </w:t>
      </w:r>
      <w:r w:rsidR="00744497" w:rsidRPr="002F6F39">
        <w:rPr>
          <w:rFonts w:ascii="Times-Bold" w:eastAsiaTheme="minorHAnsi" w:hAnsi="Times-Bold" w:cs="Times-Bold"/>
          <w:b/>
          <w:bCs/>
          <w:color w:val="548ED5"/>
          <w:sz w:val="32"/>
          <w:szCs w:val="32"/>
        </w:rPr>
        <w:t>LAVORO</w:t>
      </w:r>
    </w:p>
    <w:p w14:paraId="2F5B5F17" w14:textId="77777777" w:rsidR="009748DF" w:rsidRDefault="009748DF" w:rsidP="00397577">
      <w:pPr>
        <w:spacing w:line="240" w:lineRule="auto"/>
        <w:ind w:right="-2"/>
        <w:jc w:val="center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TRA</w:t>
      </w:r>
    </w:p>
    <w:p w14:paraId="5F5BC72D" w14:textId="77777777" w:rsidR="00AB2408" w:rsidRDefault="00AB2408" w:rsidP="00AB240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2693B803" w14:textId="76FE11D7" w:rsidR="007E3B2B" w:rsidRPr="00C7057B" w:rsidRDefault="007E3B2B" w:rsidP="007E3B2B">
      <w:pPr>
        <w:autoSpaceDE w:val="0"/>
        <w:autoSpaceDN w:val="0"/>
        <w:adjustRightInd w:val="0"/>
        <w:spacing w:after="120" w:line="240" w:lineRule="auto"/>
        <w:rPr>
          <w:rFonts w:ascii="Times-Roman" w:hAnsi="Times-Roman" w:cs="Times-Roman"/>
          <w:b/>
          <w:bCs/>
          <w:color w:val="000000"/>
          <w:sz w:val="24"/>
          <w:szCs w:val="24"/>
        </w:rPr>
      </w:pP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L’ 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>ITI “Lucarelli”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 con sede in 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>Benevento</w:t>
      </w:r>
      <w:r w:rsidRPr="008E50E5">
        <w:rPr>
          <w:rFonts w:ascii="Times-Roman" w:hAnsi="Times-Roman" w:cs="Times-Roman"/>
          <w:color w:val="000000"/>
          <w:sz w:val="24"/>
          <w:szCs w:val="24"/>
        </w:rPr>
        <w:t>,</w:t>
      </w:r>
      <w:r>
        <w:rPr>
          <w:rFonts w:ascii="Times-Roman" w:hAnsi="Times-Roman" w:cs="Times-Roman"/>
          <w:color w:val="000000"/>
        </w:rPr>
        <w:t xml:space="preserve"> viale </w:t>
      </w:r>
      <w:r w:rsidRPr="00C7057B">
        <w:rPr>
          <w:rFonts w:ascii="Times-Roman" w:hAnsi="Times-Roman" w:cs="Times-Roman"/>
          <w:b/>
          <w:bCs/>
          <w:color w:val="000000"/>
        </w:rPr>
        <w:t>S.</w:t>
      </w:r>
      <w:r w:rsidR="00C7057B" w:rsidRPr="00C7057B">
        <w:rPr>
          <w:rFonts w:ascii="Times-Roman" w:hAnsi="Times-Roman" w:cs="Times-Roman"/>
          <w:b/>
          <w:bCs/>
          <w:color w:val="000000"/>
        </w:rPr>
        <w:t xml:space="preserve"> </w:t>
      </w:r>
      <w:r w:rsidRPr="00C7057B">
        <w:rPr>
          <w:rFonts w:ascii="Times-Roman" w:hAnsi="Times-Roman" w:cs="Times-Roman"/>
          <w:b/>
          <w:bCs/>
          <w:color w:val="000000"/>
        </w:rPr>
        <w:t>Lorenzo n.2</w:t>
      </w:r>
      <w:r>
        <w:rPr>
          <w:rFonts w:ascii="Times-Roman" w:hAnsi="Times-Roman" w:cs="Times-Roman"/>
          <w:color w:val="000000"/>
        </w:rPr>
        <w:t xml:space="preserve">, 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codice fiscale 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>80002110627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 d’ora in poi denominato “istituzione scolastica”, rappresentato</w:t>
      </w:r>
      <w:r>
        <w:rPr>
          <w:rFonts w:ascii="Times-Roman" w:hAnsi="Times-Roman" w:cs="Times-Roman"/>
          <w:color w:val="000000"/>
        </w:rPr>
        <w:t xml:space="preserve"> legalmente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 dal </w:t>
      </w:r>
      <w:r>
        <w:rPr>
          <w:rFonts w:ascii="Times-Roman" w:hAnsi="Times-Roman" w:cs="Times-Roman"/>
          <w:color w:val="000000"/>
        </w:rPr>
        <w:t xml:space="preserve">Dirigente Scolastico </w:t>
      </w:r>
      <w:r w:rsidRPr="00C7057B">
        <w:rPr>
          <w:rFonts w:ascii="Times-Roman" w:hAnsi="Times-Roman" w:cs="Times-Roman"/>
          <w:b/>
          <w:bCs/>
          <w:color w:val="000000"/>
        </w:rPr>
        <w:t>Prof.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 xml:space="preserve"> Giovanni Marro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 nato a 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>Benevento (BN)</w:t>
      </w:r>
      <w:r w:rsidR="00C7057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il 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>29/01/1966</w:t>
      </w:r>
      <w:r w:rsidRPr="008E50E5">
        <w:rPr>
          <w:rFonts w:ascii="Times-Roman" w:hAnsi="Times-Roman" w:cs="Times-Roman"/>
          <w:color w:val="000000"/>
          <w:sz w:val="24"/>
          <w:szCs w:val="24"/>
        </w:rPr>
        <w:t xml:space="preserve">, codice fiscale </w:t>
      </w:r>
      <w:r w:rsidRPr="00C7057B">
        <w:rPr>
          <w:rFonts w:ascii="Times-Roman" w:hAnsi="Times-Roman" w:cs="Times-Roman"/>
          <w:b/>
          <w:bCs/>
          <w:color w:val="000000"/>
          <w:sz w:val="24"/>
          <w:szCs w:val="24"/>
        </w:rPr>
        <w:t>MRRGNN66A29A783D</w:t>
      </w:r>
    </w:p>
    <w:p w14:paraId="75C1E2D4" w14:textId="77777777" w:rsidR="00397577" w:rsidRDefault="00397577" w:rsidP="00937921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2A27D1E2" w14:textId="77777777" w:rsidR="00937921" w:rsidRDefault="00D05117" w:rsidP="00937921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E</w:t>
      </w:r>
    </w:p>
    <w:p w14:paraId="54AB901C" w14:textId="77777777" w:rsidR="00397577" w:rsidRDefault="00397577" w:rsidP="0093792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4027A3F0" w14:textId="0904055E" w:rsidR="00AB2408" w:rsidRDefault="00D05117" w:rsidP="00397577">
      <w:pPr>
        <w:autoSpaceDE w:val="0"/>
        <w:autoSpaceDN w:val="0"/>
        <w:adjustRightInd w:val="0"/>
        <w:spacing w:after="12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L’AZIENDA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………………………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>…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</w:t>
      </w:r>
      <w:r w:rsidR="002963E6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.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con sede legal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e in  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…………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>…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…………………..</w:t>
      </w:r>
      <w:r w:rsidR="00767B92">
        <w:rPr>
          <w:rFonts w:ascii="Times-Roman" w:eastAsiaTheme="minorHAnsi" w:hAnsi="Times-Roman" w:cs="Times-Roman"/>
          <w:color w:val="000000"/>
          <w:sz w:val="24"/>
          <w:szCs w:val="24"/>
        </w:rPr>
        <w:t>(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….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), via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………………………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>…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…………….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, codice fiscale/Partita</w:t>
      </w:r>
      <w:r w:rsidR="00767B92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IVA  </w:t>
      </w:r>
      <w:r w:rsidR="00937921">
        <w:rPr>
          <w:sz w:val="28"/>
          <w:szCs w:val="28"/>
        </w:rPr>
        <w:t>…………</w:t>
      </w:r>
      <w:r w:rsidR="00C7057B">
        <w:rPr>
          <w:sz w:val="28"/>
          <w:szCs w:val="28"/>
        </w:rPr>
        <w:t>……..</w:t>
      </w:r>
      <w:r w:rsidR="00937921">
        <w:rPr>
          <w:sz w:val="28"/>
          <w:szCs w:val="28"/>
        </w:rPr>
        <w:t>……………………..</w:t>
      </w:r>
      <w:r w:rsidR="00767B92" w:rsidRPr="002963E6">
        <w:rPr>
          <w:rFonts w:ascii="Times-Roman" w:eastAsiaTheme="minorHAnsi" w:hAnsi="Times-Roman" w:cs="Times-Roman"/>
          <w:color w:val="000000"/>
          <w:sz w:val="28"/>
          <w:szCs w:val="28"/>
        </w:rPr>
        <w:t xml:space="preserve">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d’ora in poi denominato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“soggett</w:t>
      </w:r>
      <w:r w:rsidR="00767B92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o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ospitante”, rappresentato 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                                                                   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dal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Sig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…………………………………………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>………..</w:t>
      </w:r>
      <w:r w:rsidR="00767B92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nato 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…………………………………..(….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>)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il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…………………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>……….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..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codice fiscale</w:t>
      </w:r>
      <w:r w:rsidR="00767B92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……</w:t>
      </w:r>
      <w:r w:rsidR="00C7057B">
        <w:rPr>
          <w:rFonts w:ascii="Times-Roman" w:eastAsiaTheme="minorHAnsi" w:hAnsi="Times-Roman" w:cs="Times-Roman"/>
          <w:color w:val="000000"/>
          <w:sz w:val="24"/>
          <w:szCs w:val="24"/>
        </w:rPr>
        <w:t>…………….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…………………</w:t>
      </w:r>
      <w:r w:rsidR="00F5675D">
        <w:rPr>
          <w:rFonts w:ascii="Times-Roman" w:eastAsiaTheme="minorHAnsi" w:hAnsi="Times-Roman" w:cs="Times-Roman"/>
          <w:color w:val="000000"/>
          <w:sz w:val="24"/>
          <w:szCs w:val="24"/>
        </w:rPr>
        <w:t>……………</w:t>
      </w:r>
    </w:p>
    <w:p w14:paraId="4BC90DDF" w14:textId="77777777" w:rsidR="0053014C" w:rsidRPr="00937921" w:rsidRDefault="0053014C" w:rsidP="00D05117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7B25FC20" w14:textId="77777777" w:rsidR="009748DF" w:rsidRDefault="009748DF" w:rsidP="00AB240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Premesso che</w:t>
      </w:r>
    </w:p>
    <w:p w14:paraId="7B4648D7" w14:textId="77777777" w:rsidR="00AB2408" w:rsidRDefault="00AB2408" w:rsidP="00AB240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</w:p>
    <w:p w14:paraId="52654BA0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- ai sensi dell’art. 1 D. Lgs. 77/05, l’alternanza costituisce una moda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lità di realizzazione dei corsi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nel secondo ciclo del sistema d’istruzione e formazione, per assicurare ai giovani l’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acquisizione di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competenze spendibili nel mercato del lavoro;</w:t>
      </w:r>
    </w:p>
    <w:p w14:paraId="13132C25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- ai sensi della legge 13 luglio 2015 n.107, art.1, commi 33-43, i percor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si di alternanza scuola lavoro,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sono organicamente inseriti nel piano triennale dell’offerta formativa dell’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istituzione scolastica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come parte integrante dei percorsi di istruzione;</w:t>
      </w:r>
    </w:p>
    <w:p w14:paraId="619133F2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- l’alternanza scuola-lavoro è soggetta all’applicazione del D. Lgs. 9 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aprile 2008, n .81 e successive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modifiche;</w:t>
      </w:r>
    </w:p>
    <w:p w14:paraId="1A82C713" w14:textId="77777777" w:rsidR="0053014C" w:rsidRDefault="0053014C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261BD68E" w14:textId="77777777" w:rsidR="009748DF" w:rsidRDefault="009748DF" w:rsidP="00AB240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Si conviene quanto segue:</w:t>
      </w:r>
    </w:p>
    <w:p w14:paraId="1502D756" w14:textId="77777777" w:rsidR="00AB2408" w:rsidRDefault="00AB2408" w:rsidP="00AB2408">
      <w:pPr>
        <w:autoSpaceDE w:val="0"/>
        <w:autoSpaceDN w:val="0"/>
        <w:adjustRightInd w:val="0"/>
        <w:spacing w:after="0" w:line="240" w:lineRule="auto"/>
        <w:jc w:val="center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</w:p>
    <w:p w14:paraId="290BB83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1.</w:t>
      </w:r>
    </w:p>
    <w:p w14:paraId="41A7C644" w14:textId="1231B8F6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</w:t>
      </w:r>
      <w:r w:rsidR="00D05117">
        <w:rPr>
          <w:rFonts w:ascii="Times-Roman" w:eastAsiaTheme="minorHAnsi" w:hAnsi="Times-Roman" w:cs="Times-Roman"/>
          <w:color w:val="000000"/>
          <w:sz w:val="24"/>
          <w:szCs w:val="24"/>
        </w:rPr>
        <w:t>’AZIEN</w:t>
      </w:r>
      <w:r w:rsidR="000C7CE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DA  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…………………</w:t>
      </w:r>
      <w:r w:rsidR="009B7B59">
        <w:rPr>
          <w:rFonts w:ascii="Times-Roman" w:eastAsiaTheme="minorHAnsi" w:hAnsi="Times-Roman" w:cs="Times-Roman"/>
          <w:color w:val="000000"/>
          <w:sz w:val="24"/>
          <w:szCs w:val="24"/>
        </w:rPr>
        <w:t>…</w:t>
      </w:r>
      <w:r w:rsidR="00937921">
        <w:rPr>
          <w:rFonts w:ascii="Times-Roman" w:eastAsiaTheme="minorHAnsi" w:hAnsi="Times-Roman" w:cs="Times-Roman"/>
          <w:color w:val="000000"/>
          <w:sz w:val="24"/>
          <w:szCs w:val="24"/>
        </w:rPr>
        <w:t>…….</w:t>
      </w:r>
      <w:r w:rsidR="002963E6">
        <w:rPr>
          <w:rFonts w:ascii="Times-Roman" w:eastAsiaTheme="minorHAnsi" w:hAnsi="Times-Roman" w:cs="Times-Roman"/>
          <w:color w:val="000000"/>
          <w:sz w:val="24"/>
          <w:szCs w:val="24"/>
        </w:rPr>
        <w:t>.</w:t>
      </w:r>
      <w:r w:rsidR="00D05117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, qui di seguito indicata/o anche come il “soggetto ospitante”,</w:t>
      </w:r>
    </w:p>
    <w:p w14:paraId="5C6DEAD4" w14:textId="58959306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si impegna ad accogliere a titolo gratuito presso le sue strutture n°</w:t>
      </w:r>
      <w:r w:rsidR="00F5675D">
        <w:rPr>
          <w:rFonts w:ascii="Times-Roman" w:eastAsiaTheme="minorHAnsi" w:hAnsi="Times-Roman" w:cs="Times-Roman"/>
          <w:color w:val="000000"/>
          <w:sz w:val="24"/>
          <w:szCs w:val="24"/>
        </w:rPr>
        <w:t>….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. soggetti in alternanza</w:t>
      </w:r>
    </w:p>
    <w:p w14:paraId="7FD6B5D5" w14:textId="7D3627D7" w:rsidR="009748DF" w:rsidRDefault="0053014C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scuola lavoro su proposta dell’</w:t>
      </w:r>
      <w:r w:rsidR="00767B92">
        <w:rPr>
          <w:rFonts w:ascii="Times-Bold" w:eastAsiaTheme="minorHAnsi" w:hAnsi="Times-Bold" w:cs="Times-Bold"/>
          <w:b/>
          <w:bCs/>
          <w:color w:val="000000"/>
          <w:sz w:val="24"/>
          <w:szCs w:val="24"/>
        </w:rPr>
        <w:t>I.T.I. G.B.</w:t>
      </w:r>
      <w:r w:rsidR="00F5675D">
        <w:rPr>
          <w:rFonts w:ascii="Times-Bold" w:eastAsiaTheme="minorHAnsi" w:hAnsi="Times-Bold" w:cs="Times-Bold"/>
          <w:b/>
          <w:bCs/>
          <w:color w:val="000000"/>
          <w:sz w:val="24"/>
          <w:szCs w:val="24"/>
        </w:rPr>
        <w:t xml:space="preserve"> </w:t>
      </w:r>
      <w:r w:rsidR="00767B92">
        <w:rPr>
          <w:rFonts w:ascii="Times-Bold" w:eastAsiaTheme="minorHAnsi" w:hAnsi="Times-Bold" w:cs="Times-Bold"/>
          <w:b/>
          <w:bCs/>
          <w:color w:val="000000"/>
          <w:sz w:val="24"/>
          <w:szCs w:val="24"/>
        </w:rPr>
        <w:t>BOSCO LUCARELLI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,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di seguito indicata/o anche </w:t>
      </w:r>
      <w:r w:rsidR="009748DF">
        <w:rPr>
          <w:rFonts w:ascii="Times-Roman" w:eastAsiaTheme="minorHAnsi" w:hAnsi="Times-Roman" w:cs="Times-Roman"/>
          <w:color w:val="000000"/>
          <w:sz w:val="24"/>
          <w:szCs w:val="24"/>
        </w:rPr>
        <w:t>come il “istituzione scolastica”.</w:t>
      </w:r>
    </w:p>
    <w:p w14:paraId="6B0A9F04" w14:textId="77777777" w:rsidR="00397577" w:rsidRDefault="00397577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</w:p>
    <w:p w14:paraId="1183595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2.</w:t>
      </w:r>
    </w:p>
    <w:p w14:paraId="7707F07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1. L’accoglimento dello/degli studente/i per i periodi di apprendim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ento in ambiente lavorativo non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costituisce rapporto di lavoro.</w:t>
      </w:r>
    </w:p>
    <w:p w14:paraId="06A1017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2. Ai fini e agli effetti delle disposizioni di cui al D. Lgs. 81/2008, l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o studente in alternanza scuola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lavoro è equiparato al lavoratore, ex art. 2, comma 1 lettera a) del decreto citato.</w:t>
      </w:r>
    </w:p>
    <w:p w14:paraId="69C1EBFF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lastRenderedPageBreak/>
        <w:t>3. L’attività di formazione ed orientamento del percorso in alternanza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scuola lavoro è congiuntamente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progettata e verificata da un docente tutor interno, designato dall’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istituzione scolastica, e da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un tutor formativo della struttura, indicato dal soggetto ospitante, denominato tutor formativo esterno;</w:t>
      </w:r>
    </w:p>
    <w:p w14:paraId="4F879790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4. Per ciascun allievo beneficiario del percorso in alternanza inserito ne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lla struttura ospitante in base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alla presente Convenzione è predisposto un percorso formativo personal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izzato, che fa parte integrante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della presente Convenzione, coerente con il profilo educa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tivo, culturale e professionale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dell’indirizzo di studi.</w:t>
      </w:r>
    </w:p>
    <w:p w14:paraId="1FCE47C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5. La titolarità del percorso, della progettazione formativa e della 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certificazione delle competenze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acquisite è dell’istituzione scolastica.</w:t>
      </w:r>
    </w:p>
    <w:p w14:paraId="47A5712B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6. L’accoglimento dello/degli studente/i minorenni per i periodi di apprend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imento in situazione lavorativa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non fa acquisire agli stessi la qualifica di “lavoratore minore” di 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cui alla L. 977/67 e successive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modifiche.</w:t>
      </w:r>
    </w:p>
    <w:p w14:paraId="30F3557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3.</w:t>
      </w:r>
    </w:p>
    <w:p w14:paraId="02227DB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1. Il docente tutor interno svolge le seguenti funzioni:</w:t>
      </w:r>
    </w:p>
    <w:p w14:paraId="003D93E6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c) elabora, insieme al tutor esterno, il percorso formativo personal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izzato sottoscritto dalle parti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coinvolte (scuola, struttura ospitante, studente/soggetti esercenti la potestà genitoriale);</w:t>
      </w:r>
    </w:p>
    <w:p w14:paraId="555F9DCC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d) assiste e guida lo studente nei percorsi di alternanza e ne verifica, in collaborazione con il</w:t>
      </w:r>
    </w:p>
    <w:p w14:paraId="50357145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tutor esterno, il corretto svolgimento;</w:t>
      </w:r>
    </w:p>
    <w:p w14:paraId="2D474FAA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e) gestisce le relazioni con il contesto in cui si sviluppa l’esperien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za di alternanza scuola lavoro,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rapportandosi con il tutor esterno;</w:t>
      </w:r>
    </w:p>
    <w:p w14:paraId="23C8004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f) monitora le attività e affronta le eventuali criticità che dovessero emergere dalle stesse;</w:t>
      </w:r>
    </w:p>
    <w:p w14:paraId="4AC0781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g) valuta, comunica e valorizza gli obiettivi raggiunti e le compete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nze progressivamente sviluppate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dallo studente;</w:t>
      </w:r>
    </w:p>
    <w:p w14:paraId="54CCF130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h) promuove l’attività di valutazione sull’efficacia e la coerenza del percorso di alternanza, da</w:t>
      </w:r>
    </w:p>
    <w:p w14:paraId="554D938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parte dello studente coinvolto;</w:t>
      </w:r>
    </w:p>
    <w:p w14:paraId="1C22959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i) informa gli organi scolastici preposti (Dirigente Scolastico, Dipa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rtimenti, Collegio dei docenti,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Comitato Tecnico Scientifico/Comitato Scientifico) ed aggiorna il Consiglio di classe</w:t>
      </w:r>
    </w:p>
    <w:p w14:paraId="75D27881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sullo svolgimento dei percorsi, anche ai fini dell’eventuale riallineamento della classe;</w:t>
      </w:r>
    </w:p>
    <w:p w14:paraId="2665F03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j) assiste il Dirigente Scolastico nella redazione della scheda di valutazione sulle strutture con</w:t>
      </w:r>
    </w:p>
    <w:p w14:paraId="2FBD317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le quali sono state stipulate le convenzioni per le attività di alternanza, evidenziandone il</w:t>
      </w:r>
    </w:p>
    <w:p w14:paraId="08207B81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potenziale formativo e le eventuali difficoltà incontrate nella collaborazione.</w:t>
      </w:r>
    </w:p>
    <w:p w14:paraId="612EB756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2. Il tutor formativo esterno svolge le seguenti funzioni:</w:t>
      </w:r>
    </w:p>
    <w:p w14:paraId="583C564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a) collabora con il tutor interno alla progettazione, organizzazione e valutazione</w:t>
      </w:r>
    </w:p>
    <w:p w14:paraId="1DC6BB2F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dell’esperienza di alternanza;</w:t>
      </w:r>
    </w:p>
    <w:p w14:paraId="6C07C84C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b) favorisce l’inserimento dello studente nel contesto operativo, lo affianca e lo assiste nel</w:t>
      </w:r>
    </w:p>
    <w:p w14:paraId="019BFDBB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percorso;</w:t>
      </w:r>
    </w:p>
    <w:p w14:paraId="5861949F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c) garantisce l’informazione/formazione dello/i studente/i sui rischi sp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ecifici aziendali, nel rispetto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delle procedure interne;</w:t>
      </w:r>
    </w:p>
    <w:p w14:paraId="328F7F9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d) pianifica ed organizza le attività in base al progetto formativo, coordin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andosi anche con altre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figure professionali presenti nella struttura ospitante;</w:t>
      </w:r>
    </w:p>
    <w:p w14:paraId="461F85E6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e) coinvolge lo studente nel processo di valutazione dell’esperienza;</w:t>
      </w:r>
    </w:p>
    <w:p w14:paraId="4260968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f) fornisce all’istituzione scolastica gli elementi concordati per valu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tare le attività dello studente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e l’efficacia del processo formativo.</w:t>
      </w:r>
    </w:p>
    <w:p w14:paraId="0E7CA2C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3. Le due figure dei tutor condividono i seguenti compiti:</w:t>
      </w:r>
    </w:p>
    <w:p w14:paraId="5E7E4473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lastRenderedPageBreak/>
        <w:t>a) predisposizione del percorso formativo personalizzato, anche con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riguardo alla disciplina della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sicurezza e salute nei luoghi di lavoro. In particolare, il docente tuto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 interno dovrà collaborare col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tutor formativo esterno al fine dell’individuazione delle attività ric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hieste dal progetto formativo 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delle misure di prevenzione necessarie alla tutela dello studente;</w:t>
      </w:r>
    </w:p>
    <w:p w14:paraId="2D14CF8A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b) controllo della frequenza e dell’attuazione del percorso formativo personalizzato;</w:t>
      </w:r>
    </w:p>
    <w:p w14:paraId="126A99DB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c) raccordo tra le esperienze formative in aula e quella in contesto lavorativo;</w:t>
      </w:r>
    </w:p>
    <w:p w14:paraId="1E9D2D4B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d) elaborazione di un report sull’esperienza svolta e sulle acquisizioni di ciascun allievo, che con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corre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alla valutazione e alla certificazione delle competenze da parte del Consiglio di classe;</w:t>
      </w:r>
    </w:p>
    <w:p w14:paraId="0EDF5BB5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e) verifica del rispetto da parte dello studente degli obblighi propri di ciascun lavoratore di cui</w:t>
      </w:r>
    </w:p>
    <w:p w14:paraId="29CDF0D8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all’art. 20 D. Lgs. 81/2008. In particolare la violazione da parte dello stu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dente degli obblighi richiamati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dalla norma citata e dal percorso formativo saranno segnalati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dal tutor formativo esterno al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docente tutor interno affinché quest’ultimo possa attivare le azioni necessarie.</w:t>
      </w:r>
    </w:p>
    <w:p w14:paraId="5C9D49E3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4</w:t>
      </w:r>
    </w:p>
    <w:p w14:paraId="192864E1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1. Durante lo svolgimento del percorso in alternanza scuola lavoro il/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 beneficiario/i del percorso è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tenuto/sono tenuti a:</w:t>
      </w:r>
    </w:p>
    <w:p w14:paraId="3DB2D64B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a) svolgere le attività previste dal percorso formativo personalizzato;</w:t>
      </w:r>
    </w:p>
    <w:p w14:paraId="10D3CAD3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b) rispettare le norme in materia di igiene, sicurezza e salute sui luoghi di lavoro, n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onché tutte le disposizioni,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istruzioni, prescrizioni, regolamenti interni, previsti a tale scopo;</w:t>
      </w:r>
    </w:p>
    <w:p w14:paraId="2818B062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c) mantenere la necessaria riservatezza per quanto attiene ai dati, info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rmazioni o conoscenze in merito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a processi produttivi e prodotti, acquisiti durante lo svolgimento dell’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attività formativa in contesto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lavorativo;</w:t>
      </w:r>
    </w:p>
    <w:p w14:paraId="56336E20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d) seguire le indicazioni dei tutor e fare riferimento ad essi per qualsiasi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esigenza di tipo organizzativo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o altre evenienze;</w:t>
      </w:r>
    </w:p>
    <w:p w14:paraId="0E14A941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e) rispettare gli obblighi di cui al D.Lgs. 81/2008, art. 20.</w:t>
      </w:r>
    </w:p>
    <w:p w14:paraId="49ADDE1B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5</w:t>
      </w:r>
    </w:p>
    <w:p w14:paraId="2E2E9431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1. L’istituzione scolastica assicura il/i beneficiario/i del percorso in 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alternanza scuola lavoro contro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gli infortuni sul lavoro presso l’INAIL, nonché per la responsabilità civil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e presso compagnie assicurative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operanti nel settore. In caso di incidente durante lo svolgimento del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percorso il soggetto ospitante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si impegna a segnalare l’evento, entro i tempi previsti dalla normativa vige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nte, agli istituti assicurativi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(facendo riferimento al numero della polizza sottoscritta dal soggetto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promotore) e, contestualmente,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al soggetto promotore.</w:t>
      </w:r>
    </w:p>
    <w:p w14:paraId="4BF7E23C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2. Ai fini dell’applicazione dell’articolo 18 del D. Lgs. 81/2008 il 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soggetto promotore si fa carico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dei seguenti obblighi:</w:t>
      </w:r>
    </w:p>
    <w:p w14:paraId="7FAEE7B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• tener conto delle capacità e delle condizioni della struttura ospitante, in r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apporto alla salute e sicurezza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degli studenti impegnati nelle attività di alternanza;</w:t>
      </w:r>
    </w:p>
    <w:p w14:paraId="73FD5CF4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• informare/formare lo studente in materia di norme relative a igiene, s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icurezza e salute sui luoghi di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lavoro, con particolare riguardo agli obblighi dello studente ex art. 20 D. Lgs. 81/2008;</w:t>
      </w:r>
    </w:p>
    <w:p w14:paraId="59E4036F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• designare un tutor interno che sia competente e adeguatamente fo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rmato in materia di sicurezza 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salute nei luoghi di lavoro o che si avvalga di professionalità adeguate in materia (es. RSPP);</w:t>
      </w:r>
    </w:p>
    <w:p w14:paraId="1B64B0D6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6</w:t>
      </w:r>
    </w:p>
    <w:p w14:paraId="00E0D0B9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1. Il soggetto ospitante si impegna a:</w:t>
      </w:r>
    </w:p>
    <w:p w14:paraId="4BB3E78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a) garantire al beneficiario/ai beneficiari del percorso, per il tramite del t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utor della struttura ospitante,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l’assistenza e la formazione necessarie al buon esito dell’attività di alte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rnanza, nonché la dichiarazione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delle competenze acquisite nel contesto di lavoro;</w:t>
      </w:r>
    </w:p>
    <w:p w14:paraId="4FC6FBB7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b) rispettare le norme antinfortunistiche e di igiene sul lavoro;</w:t>
      </w:r>
    </w:p>
    <w:p w14:paraId="1FB38B93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lastRenderedPageBreak/>
        <w:t>c) consentire al tutor del soggetto promotore di contattare il beneficiar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io/i beneficiari del percorso e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il tutor della struttura ospitante per verificare l’andamento della for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mazione in contesto lavorativo,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per coordinare l’intero percorso formativo e per la stesura della relazione finale;</w:t>
      </w:r>
    </w:p>
    <w:p w14:paraId="45FE560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d) informare il soggetto promotore di qualsiasi incidente accada al beneficiario/ai beneficiari;</w:t>
      </w:r>
    </w:p>
    <w:p w14:paraId="49380DC9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e) individuare il tutor esterno in un soggetto che sia competente e a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deguatamente formato in materia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di sicurezza e salute nei luoghi di lavoro o che si avvalga di professio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nalità adeguate in materia (es.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RSPP).</w:t>
      </w:r>
    </w:p>
    <w:p w14:paraId="0675A26D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1D407E"/>
          <w:sz w:val="24"/>
          <w:szCs w:val="24"/>
        </w:rPr>
        <w:t>Art. 7</w:t>
      </w:r>
    </w:p>
    <w:p w14:paraId="69E4F13C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1. La presente convenzione decorre dalla data sotto indicata e dura fino all’espletamento</w:t>
      </w:r>
    </w:p>
    <w:p w14:paraId="0F076923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dell’esperienza definita da ciascun percorso formativo personalizzato presso il soggetto ospitante.</w:t>
      </w:r>
    </w:p>
    <w:p w14:paraId="2A590B21" w14:textId="7A4EAB08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2. È in ogni caso riconosciuta facoltà al soggetto ospitante e al sog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getto promotore di risolvere la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presente convenzione in caso di violazione degli obblighi in materia d</w:t>
      </w:r>
      <w:r w:rsidR="00AB2408">
        <w:rPr>
          <w:rFonts w:ascii="Times-Roman" w:eastAsiaTheme="minorHAnsi" w:hAnsi="Times-Roman" w:cs="Times-Roman"/>
          <w:color w:val="000000"/>
          <w:sz w:val="24"/>
          <w:szCs w:val="24"/>
        </w:rPr>
        <w:t>i salute e sicurezza nei luoghi</w:t>
      </w:r>
      <w:r w:rsidR="00F5675D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di lavoro o del piano formativo personalizzato.</w:t>
      </w:r>
    </w:p>
    <w:p w14:paraId="024E04E1" w14:textId="77777777" w:rsidR="00F5675D" w:rsidRPr="00F5675D" w:rsidRDefault="00F5675D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16"/>
          <w:szCs w:val="16"/>
        </w:rPr>
      </w:pPr>
    </w:p>
    <w:p w14:paraId="350CB94C" w14:textId="07FA84F5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Luogo e Data</w:t>
      </w:r>
      <w:r w:rsidR="00F5675D">
        <w:rPr>
          <w:rFonts w:ascii="Times-Roman" w:eastAsiaTheme="minorHAnsi" w:hAnsi="Times-Roman" w:cs="Times-Roman"/>
          <w:color w:val="000000"/>
          <w:sz w:val="24"/>
          <w:szCs w:val="24"/>
        </w:rPr>
        <w:t xml:space="preserve"> ……………………………………………</w:t>
      </w:r>
    </w:p>
    <w:p w14:paraId="442D56F3" w14:textId="77777777" w:rsidR="00AB2408" w:rsidRDefault="00AB2408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6549B334" w14:textId="77777777" w:rsidR="00F5675D" w:rsidRDefault="00F5675D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1A6D86EA" w14:textId="77777777" w:rsidR="00AB2408" w:rsidRDefault="00D05117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L’AZIENDA ………………………………………….</w:t>
      </w:r>
    </w:p>
    <w:p w14:paraId="76DD824A" w14:textId="77777777" w:rsidR="00AB2408" w:rsidRDefault="00AB2408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Legale rappresentante</w:t>
      </w:r>
    </w:p>
    <w:p w14:paraId="2ADC556F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…………………………………………………………</w:t>
      </w:r>
    </w:p>
    <w:p w14:paraId="61C6433C" w14:textId="77777777" w:rsidR="00AB2408" w:rsidRDefault="00AB2408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0E0E52AE" w14:textId="77777777" w:rsidR="00AB2408" w:rsidRDefault="00AB2408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</w:p>
    <w:p w14:paraId="568696AE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………………………………………………………</w:t>
      </w:r>
    </w:p>
    <w:p w14:paraId="044F7744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[</w:t>
      </w:r>
      <w:r w:rsidR="00767B92">
        <w:rPr>
          <w:rFonts w:ascii="Times-Roman" w:eastAsiaTheme="minorHAnsi" w:hAnsi="Times-Roman" w:cs="Times-Roman"/>
          <w:color w:val="000000"/>
          <w:sz w:val="24"/>
          <w:szCs w:val="24"/>
        </w:rPr>
        <w:t>I.T.I. G.B BOSCO LUCARELLI</w:t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] </w:t>
      </w:r>
    </w:p>
    <w:p w14:paraId="779F2E50" w14:textId="77777777" w:rsidR="009748DF" w:rsidRDefault="009748DF" w:rsidP="009748DF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Legale rappresentante</w:t>
      </w:r>
    </w:p>
    <w:p w14:paraId="30C09F43" w14:textId="77777777" w:rsidR="004C6945" w:rsidRPr="00130F72" w:rsidRDefault="004C6945" w:rsidP="00130F72"/>
    <w:sectPr w:rsidR="004C6945" w:rsidRPr="00130F72" w:rsidSect="009D75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920" w:right="1134" w:bottom="1440" w:left="851" w:header="851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F96A0" w14:textId="77777777" w:rsidR="00CF3BEC" w:rsidRDefault="00CF3BEC" w:rsidP="00717382">
      <w:pPr>
        <w:spacing w:after="0" w:line="240" w:lineRule="auto"/>
      </w:pPr>
      <w:r>
        <w:separator/>
      </w:r>
    </w:p>
  </w:endnote>
  <w:endnote w:type="continuationSeparator" w:id="0">
    <w:p w14:paraId="34352794" w14:textId="77777777" w:rsidR="00CF3BEC" w:rsidRDefault="00CF3BEC" w:rsidP="00717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B5E82" w14:textId="77777777" w:rsidR="009B7B59" w:rsidRDefault="009B7B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EastAsia" w:hAnsiTheme="minorHAnsi"/>
      </w:rPr>
      <w:id w:val="2132658130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4F81BD" w:themeColor="accent1"/>
        <w:sz w:val="40"/>
        <w:szCs w:val="40"/>
      </w:rPr>
    </w:sdtEndPr>
    <w:sdtContent>
      <w:p w14:paraId="16069A5D" w14:textId="0869E508" w:rsidR="009B7B59" w:rsidRDefault="009B7B59">
        <w:pPr>
          <w:pStyle w:val="Pidipagina"/>
          <w:jc w:val="right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asciiTheme="minorHAnsi" w:eastAsiaTheme="minorEastAsia" w:hAnsiTheme="minorHAnsi"/>
          </w:rPr>
          <w:fldChar w:fldCharType="begin"/>
        </w:r>
        <w:r>
          <w:instrText>PAGE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fldChar w:fldCharType="end"/>
        </w:r>
      </w:p>
    </w:sdtContent>
  </w:sdt>
  <w:p w14:paraId="71443B04" w14:textId="23E7FDF6" w:rsidR="00A11B5F" w:rsidRDefault="00A11B5F" w:rsidP="00A11B5F">
    <w:pPr>
      <w:pStyle w:val="Pidipagina"/>
      <w:tabs>
        <w:tab w:val="left" w:pos="70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03C3C" w14:textId="397946EA" w:rsidR="00A11B5F" w:rsidRDefault="00A11B5F" w:rsidP="00A11B5F">
    <w:pPr>
      <w:pStyle w:val="Pidipagina"/>
      <w:tabs>
        <w:tab w:val="left" w:pos="70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7C9DE" w14:textId="77777777" w:rsidR="00CF3BEC" w:rsidRDefault="00CF3BEC" w:rsidP="00717382">
      <w:pPr>
        <w:spacing w:after="0" w:line="240" w:lineRule="auto"/>
      </w:pPr>
      <w:r>
        <w:separator/>
      </w:r>
    </w:p>
  </w:footnote>
  <w:footnote w:type="continuationSeparator" w:id="0">
    <w:p w14:paraId="5FC7177B" w14:textId="77777777" w:rsidR="00CF3BEC" w:rsidRDefault="00CF3BEC" w:rsidP="00717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ED3E0" w14:textId="77777777" w:rsidR="009B7B59" w:rsidRDefault="009B7B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A67EF" w14:textId="297B3355" w:rsidR="009D75D7" w:rsidRDefault="009D75D7" w:rsidP="009D75D7">
    <w:pPr>
      <w:pStyle w:val="Intestazione"/>
    </w:pPr>
    <w:r>
      <w:rPr>
        <w:noProof/>
      </w:rPr>
      <w:drawing>
        <wp:anchor distT="0" distB="0" distL="114300" distR="114300" simplePos="0" relativeHeight="251661824" behindDoc="1" locked="0" layoutInCell="1" allowOverlap="1" wp14:anchorId="14C23A62" wp14:editId="5054F2B8">
          <wp:simplePos x="0" y="0"/>
          <wp:positionH relativeFrom="margin">
            <wp:align>center</wp:align>
          </wp:positionH>
          <wp:positionV relativeFrom="paragraph">
            <wp:posOffset>-521970</wp:posOffset>
          </wp:positionV>
          <wp:extent cx="7579955" cy="10729913"/>
          <wp:effectExtent l="0" t="0" r="2540" b="0"/>
          <wp:wrapNone/>
          <wp:docPr id="809651474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42940B1" w14:textId="77777777" w:rsidR="009D75D7" w:rsidRDefault="009D75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2558C" w14:textId="5A8C6BF9" w:rsidR="00E83D9E" w:rsidRDefault="00E83D9E" w:rsidP="00E83D9E">
    <w:pPr>
      <w:pStyle w:val="Intestazione"/>
      <w:tabs>
        <w:tab w:val="clear" w:pos="4819"/>
        <w:tab w:val="clear" w:pos="9638"/>
        <w:tab w:val="left" w:pos="1392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7AB8D431" wp14:editId="7C353E50">
          <wp:simplePos x="0" y="0"/>
          <wp:positionH relativeFrom="page">
            <wp:align>right</wp:align>
          </wp:positionH>
          <wp:positionV relativeFrom="paragraph">
            <wp:posOffset>-540385</wp:posOffset>
          </wp:positionV>
          <wp:extent cx="7738110" cy="10729071"/>
          <wp:effectExtent l="0" t="0" r="0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38110" cy="107290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</w:p>
  <w:p w14:paraId="24EAC1F8" w14:textId="2C46F6DD" w:rsidR="00717382" w:rsidRPr="00E83D9E" w:rsidRDefault="00717382" w:rsidP="00E83D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E288F"/>
    <w:multiLevelType w:val="hybridMultilevel"/>
    <w:tmpl w:val="8592CD28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685403318">
    <w:abstractNumId w:val="0"/>
  </w:num>
  <w:num w:numId="2" w16cid:durableId="131721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82"/>
    <w:rsid w:val="000466D9"/>
    <w:rsid w:val="00053E5A"/>
    <w:rsid w:val="0007051D"/>
    <w:rsid w:val="00072DE9"/>
    <w:rsid w:val="000820EB"/>
    <w:rsid w:val="000C7CE8"/>
    <w:rsid w:val="000E3F5C"/>
    <w:rsid w:val="001250FB"/>
    <w:rsid w:val="00130F72"/>
    <w:rsid w:val="00144F89"/>
    <w:rsid w:val="0017480C"/>
    <w:rsid w:val="001B4462"/>
    <w:rsid w:val="00227DAA"/>
    <w:rsid w:val="00251485"/>
    <w:rsid w:val="00275BE9"/>
    <w:rsid w:val="002963E6"/>
    <w:rsid w:val="002B386B"/>
    <w:rsid w:val="002C0EBD"/>
    <w:rsid w:val="002E468C"/>
    <w:rsid w:val="002F6F39"/>
    <w:rsid w:val="00331334"/>
    <w:rsid w:val="00336C40"/>
    <w:rsid w:val="003968B9"/>
    <w:rsid w:val="00397577"/>
    <w:rsid w:val="003C06CC"/>
    <w:rsid w:val="003D1B90"/>
    <w:rsid w:val="003D61AE"/>
    <w:rsid w:val="003E24C1"/>
    <w:rsid w:val="00485083"/>
    <w:rsid w:val="004C6945"/>
    <w:rsid w:val="005165BC"/>
    <w:rsid w:val="0053014C"/>
    <w:rsid w:val="005528C7"/>
    <w:rsid w:val="005542D4"/>
    <w:rsid w:val="00566C13"/>
    <w:rsid w:val="0057171C"/>
    <w:rsid w:val="00571A51"/>
    <w:rsid w:val="005A6272"/>
    <w:rsid w:val="006012F4"/>
    <w:rsid w:val="0066159F"/>
    <w:rsid w:val="006661C4"/>
    <w:rsid w:val="00717382"/>
    <w:rsid w:val="00744497"/>
    <w:rsid w:val="00767B92"/>
    <w:rsid w:val="007E3B2B"/>
    <w:rsid w:val="008615CA"/>
    <w:rsid w:val="008C2EAA"/>
    <w:rsid w:val="009368B8"/>
    <w:rsid w:val="009371B7"/>
    <w:rsid w:val="00937921"/>
    <w:rsid w:val="009748DF"/>
    <w:rsid w:val="009B7B59"/>
    <w:rsid w:val="009D75D7"/>
    <w:rsid w:val="00A11B5F"/>
    <w:rsid w:val="00A22637"/>
    <w:rsid w:val="00A30EAA"/>
    <w:rsid w:val="00A5244E"/>
    <w:rsid w:val="00A806CA"/>
    <w:rsid w:val="00AB2408"/>
    <w:rsid w:val="00AB3B5F"/>
    <w:rsid w:val="00AC6192"/>
    <w:rsid w:val="00AF290B"/>
    <w:rsid w:val="00B028EB"/>
    <w:rsid w:val="00B073A4"/>
    <w:rsid w:val="00B33BD8"/>
    <w:rsid w:val="00BE2E06"/>
    <w:rsid w:val="00BF6C8D"/>
    <w:rsid w:val="00C11019"/>
    <w:rsid w:val="00C318CF"/>
    <w:rsid w:val="00C7057B"/>
    <w:rsid w:val="00C80FDE"/>
    <w:rsid w:val="00C907A4"/>
    <w:rsid w:val="00CC3F00"/>
    <w:rsid w:val="00CD3F57"/>
    <w:rsid w:val="00CE2FB4"/>
    <w:rsid w:val="00CF3BEC"/>
    <w:rsid w:val="00D05117"/>
    <w:rsid w:val="00D1089C"/>
    <w:rsid w:val="00D55B35"/>
    <w:rsid w:val="00D6631E"/>
    <w:rsid w:val="00DE125E"/>
    <w:rsid w:val="00DF51F5"/>
    <w:rsid w:val="00E5537D"/>
    <w:rsid w:val="00E823C6"/>
    <w:rsid w:val="00E83D9E"/>
    <w:rsid w:val="00E96698"/>
    <w:rsid w:val="00EA1B2B"/>
    <w:rsid w:val="00EB6211"/>
    <w:rsid w:val="00ED129A"/>
    <w:rsid w:val="00EF272F"/>
    <w:rsid w:val="00F22A35"/>
    <w:rsid w:val="00F5675D"/>
    <w:rsid w:val="00FF3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361C0"/>
  <w15:docId w15:val="{89784226-B0B8-4333-8676-C85DEB84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101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173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7382"/>
  </w:style>
  <w:style w:type="paragraph" w:styleId="Pidipagina">
    <w:name w:val="footer"/>
    <w:basedOn w:val="Normale"/>
    <w:link w:val="PidipaginaCarattere"/>
    <w:uiPriority w:val="99"/>
    <w:unhideWhenUsed/>
    <w:rsid w:val="007173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73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7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738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11B5F"/>
    <w:rPr>
      <w:color w:val="0000FF"/>
      <w:u w:val="single"/>
    </w:rPr>
  </w:style>
  <w:style w:type="character" w:styleId="Numeropagina">
    <w:name w:val="page number"/>
    <w:basedOn w:val="Carpredefinitoparagrafo"/>
    <w:uiPriority w:val="99"/>
    <w:unhideWhenUsed/>
    <w:rsid w:val="000E3F5C"/>
  </w:style>
  <w:style w:type="paragraph" w:styleId="Paragrafoelenco">
    <w:name w:val="List Paragraph"/>
    <w:basedOn w:val="Normale"/>
    <w:uiPriority w:val="34"/>
    <w:qFormat/>
    <w:rsid w:val="00C11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5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Pellegrino De Gennaro</dc:creator>
  <cp:lastModifiedBy>Angelo Zampelli</cp:lastModifiedBy>
  <cp:revision>6</cp:revision>
  <cp:lastPrinted>2016-07-11T06:39:00Z</cp:lastPrinted>
  <dcterms:created xsi:type="dcterms:W3CDTF">2024-10-19T18:01:00Z</dcterms:created>
  <dcterms:modified xsi:type="dcterms:W3CDTF">2024-10-23T11:40:00Z</dcterms:modified>
</cp:coreProperties>
</file>